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728AE2">
      <w:pPr>
        <w:pStyle w:val="2"/>
        <w:shd w:val="clear" w:color="auto" w:fill="FFFFFF"/>
        <w:spacing w:before="0" w:beforeAutospacing="0" w:after="0" w:afterAutospacing="0" w:line="360" w:lineRule="auto"/>
        <w:jc w:val="center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黑体" w:hAnsi="黑体" w:eastAsia="黑体" w:cs="黑体"/>
          <w:sz w:val="40"/>
          <w:szCs w:val="40"/>
        </w:rPr>
        <w:t>支撑材料</w:t>
      </w:r>
    </w:p>
    <w:p w14:paraId="5641E517"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8"/>
        </w:rPr>
      </w:pPr>
    </w:p>
    <w:p w14:paraId="5B6450BA"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sz w:val="24"/>
          <w:szCs w:val="28"/>
        </w:rPr>
        <w:t>说明：编制目录</w:t>
      </w:r>
      <w:r>
        <w:rPr>
          <w:rFonts w:hint="eastAsia" w:ascii="仿宋" w:hAnsi="仿宋" w:eastAsia="仿宋"/>
          <w:sz w:val="24"/>
          <w:szCs w:val="28"/>
          <w:lang w:val="en-US" w:eastAsia="zh-CN"/>
        </w:rPr>
        <w:t>清单并附</w:t>
      </w:r>
      <w:r>
        <w:rPr>
          <w:rFonts w:hint="eastAsia" w:ascii="仿宋" w:hAnsi="仿宋" w:eastAsia="仿宋"/>
          <w:sz w:val="24"/>
          <w:szCs w:val="28"/>
        </w:rPr>
        <w:t>相关支撑材料。</w:t>
      </w:r>
    </w:p>
    <w:p w14:paraId="28A68576"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8"/>
        </w:rPr>
      </w:pPr>
    </w:p>
    <w:p w14:paraId="6DD450EA">
      <w:pPr>
        <w:spacing w:line="360" w:lineRule="auto"/>
        <w:rPr>
          <w:rFonts w:hint="eastAsia" w:ascii="仿宋" w:hAnsi="仿宋" w:eastAsia="仿宋"/>
          <w:sz w:val="24"/>
          <w:szCs w:val="28"/>
        </w:rPr>
      </w:pPr>
    </w:p>
    <w:p w14:paraId="2013AC67">
      <w:pPr>
        <w:adjustRightInd w:val="0"/>
        <w:spacing w:line="360" w:lineRule="auto"/>
        <w:textAlignment w:val="baseline"/>
        <w:rPr>
          <w:rFonts w:ascii="宋体"/>
          <w:bCs/>
          <w:sz w:val="24"/>
        </w:rPr>
      </w:pPr>
    </w:p>
    <w:p w14:paraId="6D23FD5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B21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